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223" w:rsidRPr="00817223" w:rsidRDefault="00817223" w:rsidP="00817223">
      <w:pPr>
        <w:shd w:val="clear" w:color="auto" w:fill="F6F6F6"/>
        <w:spacing w:after="0" w:line="240" w:lineRule="auto"/>
        <w:rPr>
          <w:rFonts w:ascii="Times New Roman" w:eastAsia="Times New Roman" w:hAnsi="Times New Roman" w:cs="Times New Roman"/>
          <w:b/>
          <w:color w:val="FF0000"/>
          <w:sz w:val="28"/>
          <w:szCs w:val="28"/>
          <w:lang w:eastAsia="el-GR"/>
        </w:rPr>
      </w:pPr>
      <w:r w:rsidRPr="00817223">
        <w:rPr>
          <w:rFonts w:ascii="Times New Roman" w:eastAsia="Times New Roman" w:hAnsi="Times New Roman" w:cs="Times New Roman"/>
          <w:b/>
          <w:color w:val="FF0000"/>
          <w:sz w:val="28"/>
          <w:szCs w:val="28"/>
          <w:lang w:eastAsia="el-GR"/>
        </w:rPr>
        <w:fldChar w:fldCharType="begin"/>
      </w:r>
      <w:r w:rsidRPr="00817223">
        <w:rPr>
          <w:rFonts w:ascii="Times New Roman" w:eastAsia="Times New Roman" w:hAnsi="Times New Roman" w:cs="Times New Roman"/>
          <w:b/>
          <w:color w:val="FF0000"/>
          <w:sz w:val="28"/>
          <w:szCs w:val="28"/>
          <w:lang w:eastAsia="el-GR"/>
        </w:rPr>
        <w:instrText xml:space="preserve"> HYPERLINK "https://www.sofokleousin.gr/" \o "SofokleousIn" </w:instrText>
      </w:r>
      <w:r w:rsidRPr="00817223">
        <w:rPr>
          <w:rFonts w:ascii="Times New Roman" w:eastAsia="Times New Roman" w:hAnsi="Times New Roman" w:cs="Times New Roman"/>
          <w:b/>
          <w:color w:val="FF0000"/>
          <w:sz w:val="28"/>
          <w:szCs w:val="28"/>
          <w:lang w:eastAsia="el-GR"/>
        </w:rPr>
        <w:fldChar w:fldCharType="separate"/>
      </w:r>
      <w:proofErr w:type="spellStart"/>
      <w:r w:rsidRPr="00817223">
        <w:rPr>
          <w:rFonts w:ascii="Times New Roman" w:eastAsia="Times New Roman" w:hAnsi="Times New Roman" w:cs="Times New Roman"/>
          <w:b/>
          <w:color w:val="FF0000"/>
          <w:sz w:val="28"/>
          <w:szCs w:val="28"/>
          <w:u w:val="single"/>
          <w:bdr w:val="none" w:sz="0" w:space="0" w:color="auto" w:frame="1"/>
          <w:lang w:eastAsia="el-GR"/>
        </w:rPr>
        <w:t>Sofokleous</w:t>
      </w:r>
      <w:proofErr w:type="spellEnd"/>
      <w:r w:rsidRPr="00817223">
        <w:rPr>
          <w:rFonts w:ascii="Times New Roman" w:eastAsia="Times New Roman" w:hAnsi="Times New Roman" w:cs="Times New Roman"/>
          <w:b/>
          <w:color w:val="FF0000"/>
          <w:sz w:val="28"/>
          <w:szCs w:val="28"/>
          <w:u w:val="single"/>
          <w:bdr w:val="none" w:sz="0" w:space="0" w:color="auto" w:frame="1"/>
          <w:lang w:eastAsia="el-GR"/>
        </w:rPr>
        <w:t xml:space="preserve"> </w:t>
      </w:r>
      <w:proofErr w:type="spellStart"/>
      <w:r w:rsidRPr="00817223">
        <w:rPr>
          <w:rFonts w:ascii="Times New Roman" w:eastAsia="Times New Roman" w:hAnsi="Times New Roman" w:cs="Times New Roman"/>
          <w:b/>
          <w:color w:val="FF0000"/>
          <w:sz w:val="28"/>
          <w:szCs w:val="28"/>
          <w:u w:val="single"/>
          <w:bdr w:val="none" w:sz="0" w:space="0" w:color="auto" w:frame="1"/>
          <w:lang w:eastAsia="el-GR"/>
        </w:rPr>
        <w:t>In</w:t>
      </w:r>
      <w:proofErr w:type="spellEnd"/>
      <w:r w:rsidRPr="00817223">
        <w:rPr>
          <w:rFonts w:ascii="Times New Roman" w:eastAsia="Times New Roman" w:hAnsi="Times New Roman" w:cs="Times New Roman"/>
          <w:b/>
          <w:color w:val="FF0000"/>
          <w:sz w:val="28"/>
          <w:szCs w:val="28"/>
          <w:lang w:eastAsia="el-GR"/>
        </w:rPr>
        <w:fldChar w:fldCharType="end"/>
      </w:r>
    </w:p>
    <w:p w:rsidR="00817223" w:rsidRPr="00817223" w:rsidRDefault="00817223" w:rsidP="00817223">
      <w:pPr>
        <w:pBdr>
          <w:bottom w:val="single" w:sz="6" w:space="1" w:color="auto"/>
        </w:pBdr>
        <w:spacing w:after="0" w:line="240" w:lineRule="auto"/>
        <w:jc w:val="center"/>
        <w:rPr>
          <w:rFonts w:ascii="Arial" w:eastAsia="Times New Roman" w:hAnsi="Arial" w:cs="Arial"/>
          <w:vanish/>
          <w:sz w:val="16"/>
          <w:szCs w:val="16"/>
          <w:lang w:eastAsia="el-GR"/>
        </w:rPr>
      </w:pPr>
      <w:r w:rsidRPr="00817223">
        <w:rPr>
          <w:rFonts w:ascii="Arial" w:eastAsia="Times New Roman" w:hAnsi="Arial" w:cs="Arial"/>
          <w:vanish/>
          <w:sz w:val="16"/>
          <w:szCs w:val="16"/>
          <w:lang w:eastAsia="el-GR"/>
        </w:rPr>
        <w:t>Αρχή φόρμας</w:t>
      </w:r>
    </w:p>
    <w:p w:rsidR="00817223" w:rsidRPr="00817223" w:rsidRDefault="00817223" w:rsidP="00817223">
      <w:pPr>
        <w:pBdr>
          <w:top w:val="single" w:sz="6" w:space="1" w:color="auto"/>
        </w:pBdr>
        <w:spacing w:after="0" w:line="240" w:lineRule="auto"/>
        <w:jc w:val="center"/>
        <w:rPr>
          <w:rFonts w:ascii="Arial" w:eastAsia="Times New Roman" w:hAnsi="Arial" w:cs="Arial"/>
          <w:vanish/>
          <w:sz w:val="16"/>
          <w:szCs w:val="16"/>
          <w:lang w:eastAsia="el-GR"/>
        </w:rPr>
      </w:pPr>
      <w:r w:rsidRPr="00817223">
        <w:rPr>
          <w:rFonts w:ascii="Arial" w:eastAsia="Times New Roman" w:hAnsi="Arial" w:cs="Arial"/>
          <w:vanish/>
          <w:sz w:val="16"/>
          <w:szCs w:val="16"/>
          <w:lang w:eastAsia="el-GR"/>
        </w:rPr>
        <w:t>Τέλος φόρμας</w:t>
      </w:r>
    </w:p>
    <w:p w:rsidR="00817223" w:rsidRPr="00817223" w:rsidRDefault="00817223" w:rsidP="00817223">
      <w:pPr>
        <w:shd w:val="clear" w:color="auto" w:fill="F6F6F6"/>
        <w:spacing w:line="240" w:lineRule="auto"/>
        <w:rPr>
          <w:rFonts w:ascii="Times New Roman" w:eastAsia="Times New Roman" w:hAnsi="Times New Roman" w:cs="Times New Roman"/>
          <w:sz w:val="24"/>
          <w:szCs w:val="24"/>
          <w:lang w:eastAsia="el-GR"/>
        </w:rPr>
      </w:pPr>
      <w:r w:rsidRPr="00817223">
        <w:rPr>
          <w:rFonts w:ascii="Times New Roman" w:eastAsia="Times New Roman" w:hAnsi="Times New Roman" w:cs="Times New Roman"/>
          <w:sz w:val="2"/>
          <w:szCs w:val="2"/>
          <w:lang w:eastAsia="el-GR"/>
        </w:rPr>
        <w:br w:type="textWrapping" w:clear="all"/>
      </w:r>
    </w:p>
    <w:p w:rsidR="00607A94" w:rsidRDefault="00607A94" w:rsidP="00817223">
      <w:pPr>
        <w:spacing w:after="0" w:line="240" w:lineRule="auto"/>
        <w:rPr>
          <w:rFonts w:ascii="Times New Roman" w:eastAsia="Times New Roman" w:hAnsi="Times New Roman" w:cs="Times New Roman"/>
          <w:sz w:val="24"/>
          <w:szCs w:val="24"/>
          <w:lang w:eastAsia="el-GR"/>
        </w:rPr>
      </w:pPr>
    </w:p>
    <w:bookmarkStart w:id="0" w:name="_GoBack"/>
    <w:bookmarkEnd w:id="0"/>
    <w:p w:rsidR="00817223" w:rsidRPr="00817223" w:rsidRDefault="00817223" w:rsidP="00817223">
      <w:pPr>
        <w:spacing w:after="0" w:line="240" w:lineRule="auto"/>
        <w:rPr>
          <w:rFonts w:ascii="Times New Roman" w:eastAsia="Times New Roman" w:hAnsi="Times New Roman" w:cs="Times New Roman"/>
          <w:sz w:val="24"/>
          <w:szCs w:val="24"/>
          <w:lang w:eastAsia="el-GR"/>
        </w:rPr>
      </w:pPr>
      <w:r w:rsidRPr="00817223">
        <w:rPr>
          <w:rFonts w:ascii="Times New Roman" w:eastAsia="Times New Roman" w:hAnsi="Times New Roman" w:cs="Times New Roman"/>
          <w:sz w:val="24"/>
          <w:szCs w:val="24"/>
          <w:lang w:eastAsia="el-GR"/>
        </w:rPr>
        <w:fldChar w:fldCharType="begin"/>
      </w:r>
      <w:r w:rsidRPr="00817223">
        <w:rPr>
          <w:rFonts w:ascii="Times New Roman" w:eastAsia="Times New Roman" w:hAnsi="Times New Roman" w:cs="Times New Roman"/>
          <w:sz w:val="24"/>
          <w:szCs w:val="24"/>
          <w:lang w:eastAsia="el-GR"/>
        </w:rPr>
        <w:instrText xml:space="preserve"> HYPERLINK "https://www.sofokleousin.gr/category/oikonomia" </w:instrText>
      </w:r>
      <w:r w:rsidRPr="00817223">
        <w:rPr>
          <w:rFonts w:ascii="Times New Roman" w:eastAsia="Times New Roman" w:hAnsi="Times New Roman" w:cs="Times New Roman"/>
          <w:sz w:val="24"/>
          <w:szCs w:val="24"/>
          <w:lang w:eastAsia="el-GR"/>
        </w:rPr>
        <w:fldChar w:fldCharType="separate"/>
      </w:r>
      <w:r w:rsidRPr="00817223">
        <w:rPr>
          <w:rFonts w:ascii="Arial" w:eastAsia="Times New Roman" w:hAnsi="Arial" w:cs="Arial"/>
          <w:color w:val="FFFFFF"/>
          <w:sz w:val="18"/>
          <w:szCs w:val="18"/>
          <w:u w:val="single"/>
          <w:bdr w:val="none" w:sz="0" w:space="0" w:color="auto" w:frame="1"/>
          <w:shd w:val="clear" w:color="auto" w:fill="BB0404"/>
          <w:lang w:eastAsia="el-GR"/>
        </w:rPr>
        <w:t>Οικονομία</w:t>
      </w:r>
      <w:r w:rsidRPr="00817223">
        <w:rPr>
          <w:rFonts w:ascii="Times New Roman" w:eastAsia="Times New Roman" w:hAnsi="Times New Roman" w:cs="Times New Roman"/>
          <w:sz w:val="24"/>
          <w:szCs w:val="24"/>
          <w:lang w:eastAsia="el-GR"/>
        </w:rPr>
        <w:fldChar w:fldCharType="end"/>
      </w:r>
    </w:p>
    <w:p w:rsidR="00817223" w:rsidRPr="00817223" w:rsidRDefault="00817223" w:rsidP="00817223">
      <w:pPr>
        <w:spacing w:after="0" w:line="240" w:lineRule="auto"/>
        <w:outlineLvl w:val="0"/>
        <w:rPr>
          <w:rFonts w:ascii="ZonaProBold" w:eastAsia="Times New Roman" w:hAnsi="ZonaProBold" w:cs="Times New Roman"/>
          <w:kern w:val="36"/>
          <w:sz w:val="36"/>
          <w:szCs w:val="36"/>
          <w:lang w:eastAsia="el-GR"/>
        </w:rPr>
      </w:pPr>
      <w:r w:rsidRPr="00817223">
        <w:rPr>
          <w:rFonts w:ascii="ZonaProBold" w:eastAsia="Times New Roman" w:hAnsi="ZonaProBold" w:cs="Times New Roman"/>
          <w:kern w:val="36"/>
          <w:sz w:val="36"/>
          <w:szCs w:val="36"/>
          <w:lang w:eastAsia="el-GR"/>
        </w:rPr>
        <w:t>Νέα εκρηκτική αύξηση του δημοσίου χρέους (πίνακας)</w:t>
      </w:r>
    </w:p>
    <w:p w:rsidR="00817223" w:rsidRPr="00817223" w:rsidRDefault="00817223" w:rsidP="00817223">
      <w:pPr>
        <w:spacing w:before="276" w:after="276" w:line="240" w:lineRule="auto"/>
        <w:rPr>
          <w:rFonts w:ascii="Times New Roman" w:eastAsia="Times New Roman" w:hAnsi="Times New Roman" w:cs="Times New Roman"/>
          <w:sz w:val="24"/>
          <w:szCs w:val="24"/>
          <w:lang w:eastAsia="el-GR"/>
        </w:rPr>
      </w:pPr>
      <w:r w:rsidRPr="00817223">
        <w:rPr>
          <w:rFonts w:ascii="Times New Roman" w:eastAsia="Times New Roman" w:hAnsi="Times New Roman" w:cs="Times New Roman"/>
          <w:sz w:val="24"/>
          <w:szCs w:val="24"/>
          <w:lang w:eastAsia="el-GR"/>
        </w:rPr>
        <w:pict>
          <v:rect id="_x0000_i1025" style="width:555pt;height:.75pt" o:hrpct="0" o:hralign="center" o:hrstd="t" o:hr="t" fillcolor="#a0a0a0" stroked="f"/>
        </w:pict>
      </w:r>
    </w:p>
    <w:p w:rsidR="00817223" w:rsidRPr="00817223" w:rsidRDefault="00817223" w:rsidP="00817223">
      <w:pPr>
        <w:spacing w:after="180" w:line="240" w:lineRule="auto"/>
        <w:outlineLvl w:val="1"/>
        <w:rPr>
          <w:rFonts w:ascii="ZonaProBold" w:eastAsia="Times New Roman" w:hAnsi="ZonaProBold" w:cs="Times New Roman"/>
          <w:color w:val="555555"/>
          <w:sz w:val="27"/>
          <w:szCs w:val="27"/>
          <w:lang w:eastAsia="el-GR"/>
        </w:rPr>
      </w:pPr>
      <w:r w:rsidRPr="00817223">
        <w:rPr>
          <w:rFonts w:ascii="ZonaProBold" w:eastAsia="Times New Roman" w:hAnsi="ZonaProBold" w:cs="Times New Roman"/>
          <w:color w:val="555555"/>
          <w:sz w:val="27"/>
          <w:szCs w:val="27"/>
          <w:lang w:eastAsia="el-GR"/>
        </w:rPr>
        <w:t>Την ώρα που το έλλειμμα του προϋπολογισμού και το δημόσιο χρέος αυξάνονται δραματικά, η κυβέρνηση υπόσχεται ελαφρύνσεις</w:t>
      </w:r>
    </w:p>
    <w:p w:rsidR="00817223" w:rsidRPr="00817223" w:rsidRDefault="00817223" w:rsidP="00817223">
      <w:pPr>
        <w:spacing w:line="240" w:lineRule="auto"/>
        <w:jc w:val="center"/>
        <w:rPr>
          <w:rFonts w:ascii="Times New Roman" w:eastAsia="Times New Roman" w:hAnsi="Times New Roman" w:cs="Times New Roman"/>
          <w:sz w:val="24"/>
          <w:szCs w:val="24"/>
          <w:lang w:eastAsia="el-GR"/>
        </w:rPr>
      </w:pPr>
      <w:r w:rsidRPr="00817223">
        <w:rPr>
          <w:rFonts w:ascii="Times New Roman" w:eastAsia="Times New Roman" w:hAnsi="Times New Roman" w:cs="Times New Roman"/>
          <w:noProof/>
          <w:sz w:val="24"/>
          <w:szCs w:val="24"/>
          <w:lang w:eastAsia="el-GR"/>
        </w:rPr>
        <w:drawing>
          <wp:inline distT="0" distB="0" distL="0" distR="0" wp14:anchorId="3E97DE63" wp14:editId="633B4A0A">
            <wp:extent cx="7048500" cy="4333875"/>
            <wp:effectExtent l="0" t="0" r="0" b="9525"/>
            <wp:docPr id="1" name="Εικόνα 1" descr="Έκρηξη του δημόσιου χρέ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Έκρηξη του δημόσιου χρέους"/>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48500" cy="4333875"/>
                    </a:xfrm>
                    <a:prstGeom prst="rect">
                      <a:avLst/>
                    </a:prstGeom>
                    <a:noFill/>
                    <a:ln>
                      <a:noFill/>
                    </a:ln>
                  </pic:spPr>
                </pic:pic>
              </a:graphicData>
            </a:graphic>
          </wp:inline>
        </w:drawing>
      </w:r>
    </w:p>
    <w:p w:rsidR="00817223" w:rsidRPr="00817223" w:rsidRDefault="00817223" w:rsidP="00817223">
      <w:pPr>
        <w:spacing w:after="0" w:line="240" w:lineRule="auto"/>
        <w:rPr>
          <w:rFonts w:ascii="Times New Roman" w:eastAsia="Times New Roman" w:hAnsi="Times New Roman" w:cs="Times New Roman"/>
          <w:sz w:val="24"/>
          <w:szCs w:val="24"/>
          <w:lang w:eastAsia="el-GR"/>
        </w:rPr>
      </w:pPr>
      <w:r w:rsidRPr="00817223">
        <w:rPr>
          <w:rFonts w:ascii="Times New Roman" w:eastAsia="Times New Roman" w:hAnsi="Times New Roman" w:cs="Times New Roman"/>
          <w:color w:val="999999"/>
          <w:sz w:val="17"/>
          <w:szCs w:val="17"/>
          <w:bdr w:val="none" w:sz="0" w:space="0" w:color="auto" w:frame="1"/>
          <w:lang w:eastAsia="el-GR"/>
        </w:rPr>
        <w:t>12:00, 07 Σεπτεμβρίου 2021</w:t>
      </w:r>
    </w:p>
    <w:p w:rsidR="00817223" w:rsidRPr="00817223" w:rsidRDefault="00817223" w:rsidP="00817223">
      <w:pPr>
        <w:numPr>
          <w:ilvl w:val="0"/>
          <w:numId w:val="1"/>
        </w:numPr>
        <w:spacing w:after="0" w:line="480" w:lineRule="atLeast"/>
        <w:ind w:left="0" w:right="75"/>
        <w:rPr>
          <w:rFonts w:ascii="Times New Roman" w:eastAsia="Times New Roman" w:hAnsi="Times New Roman" w:cs="Times New Roman"/>
          <w:b/>
          <w:bCs/>
          <w:color w:val="FFFFFF"/>
          <w:sz w:val="18"/>
          <w:szCs w:val="18"/>
          <w:bdr w:val="none" w:sz="0" w:space="0" w:color="auto" w:frame="1"/>
          <w:shd w:val="clear" w:color="auto" w:fill="266C9C"/>
          <w:lang w:eastAsia="el-GR"/>
        </w:rPr>
      </w:pPr>
      <w:r w:rsidRPr="00817223">
        <w:rPr>
          <w:rFonts w:ascii="Times New Roman" w:eastAsia="Times New Roman" w:hAnsi="Times New Roman" w:cs="Times New Roman"/>
          <w:sz w:val="24"/>
          <w:szCs w:val="24"/>
          <w:lang w:eastAsia="el-GR"/>
        </w:rPr>
        <w:fldChar w:fldCharType="begin"/>
      </w:r>
      <w:r w:rsidRPr="00817223">
        <w:rPr>
          <w:rFonts w:ascii="Times New Roman" w:eastAsia="Times New Roman" w:hAnsi="Times New Roman" w:cs="Times New Roman"/>
          <w:sz w:val="24"/>
          <w:szCs w:val="24"/>
          <w:lang w:eastAsia="el-GR"/>
        </w:rPr>
        <w:instrText xml:space="preserve"> HYPERLINK "https://www.linkedin.com/shareArticle?mini=true&amp;url=http://www.sofokleousin.gr/nea-ekriktiki-ayksisi-tou-dimosiou-xreous-pinakas&amp;title=&amp;summary=&amp;source=Sofokleousin.gr" </w:instrText>
      </w:r>
      <w:r w:rsidRPr="00817223">
        <w:rPr>
          <w:rFonts w:ascii="Times New Roman" w:eastAsia="Times New Roman" w:hAnsi="Times New Roman" w:cs="Times New Roman"/>
          <w:sz w:val="24"/>
          <w:szCs w:val="24"/>
          <w:lang w:eastAsia="el-GR"/>
        </w:rPr>
        <w:fldChar w:fldCharType="separate"/>
      </w:r>
    </w:p>
    <w:p w:rsidR="00817223" w:rsidRPr="00817223" w:rsidRDefault="00817223" w:rsidP="00817223">
      <w:pPr>
        <w:spacing w:after="0" w:line="240" w:lineRule="auto"/>
        <w:ind w:right="75"/>
        <w:rPr>
          <w:rFonts w:ascii="Helvetica" w:eastAsia="Times New Roman" w:hAnsi="Helvetica" w:cs="Times New Roman"/>
          <w:color w:val="333333"/>
          <w:sz w:val="21"/>
          <w:szCs w:val="21"/>
          <w:lang w:eastAsia="el-GR"/>
        </w:rPr>
      </w:pPr>
      <w:r w:rsidRPr="00817223">
        <w:rPr>
          <w:rFonts w:ascii="Times New Roman" w:eastAsia="Times New Roman" w:hAnsi="Times New Roman" w:cs="Times New Roman"/>
          <w:sz w:val="24"/>
          <w:szCs w:val="24"/>
          <w:lang w:eastAsia="el-GR"/>
        </w:rPr>
        <w:fldChar w:fldCharType="end"/>
      </w:r>
      <w:r w:rsidRPr="00817223">
        <w:rPr>
          <w:rFonts w:ascii="Helvetica" w:eastAsia="Times New Roman" w:hAnsi="Helvetica" w:cs="Times New Roman"/>
          <w:b/>
          <w:bCs/>
          <w:color w:val="333333"/>
          <w:sz w:val="21"/>
          <w:szCs w:val="21"/>
          <w:bdr w:val="none" w:sz="0" w:space="0" w:color="auto" w:frame="1"/>
          <w:lang w:eastAsia="el-GR"/>
        </w:rPr>
        <w:t>Στα ύψη εκτινάχθηκε το δημόσιο χρέος στο επτάμηνο Ιανουαρίου - Ιουλίου λόγω των τεράστιων  ελλειμμάτων του κρατικού προϋπολογισμού, αλλά και του υπερδανεισμού στον οποίο καταφεύγει το υπουργείο Οικονομικών.</w:t>
      </w:r>
    </w:p>
    <w:p w:rsidR="00817223" w:rsidRPr="00817223" w:rsidRDefault="00817223" w:rsidP="00817223">
      <w:pPr>
        <w:shd w:val="clear" w:color="auto" w:fill="FFFFFF"/>
        <w:spacing w:after="0" w:line="240" w:lineRule="auto"/>
        <w:rPr>
          <w:rFonts w:ascii="Helvetica" w:eastAsia="Times New Roman" w:hAnsi="Helvetica" w:cs="Times New Roman"/>
          <w:color w:val="333333"/>
          <w:sz w:val="21"/>
          <w:szCs w:val="21"/>
          <w:lang w:eastAsia="el-GR"/>
        </w:rPr>
      </w:pPr>
      <w:r w:rsidRPr="00817223">
        <w:rPr>
          <w:rFonts w:ascii="Helvetica" w:eastAsia="Times New Roman" w:hAnsi="Helvetica" w:cs="Times New Roman"/>
          <w:color w:val="333333"/>
          <w:sz w:val="21"/>
          <w:szCs w:val="21"/>
          <w:lang w:eastAsia="el-GR"/>
        </w:rPr>
        <w:t>Σύμφωνα με τα επίσημα στοιχεία του υπουργείου Οικονομικών, στο τέλος του περασμένου Ιουλίου το συνολικό χρέος της χώρας</w:t>
      </w:r>
      <w:r w:rsidRPr="00817223">
        <w:rPr>
          <w:rFonts w:ascii="Helvetica" w:eastAsia="Times New Roman" w:hAnsi="Helvetica" w:cs="Times New Roman"/>
          <w:b/>
          <w:bCs/>
          <w:color w:val="333333"/>
          <w:sz w:val="21"/>
          <w:szCs w:val="21"/>
          <w:bdr w:val="none" w:sz="0" w:space="0" w:color="auto" w:frame="1"/>
          <w:lang w:eastAsia="el-GR"/>
        </w:rPr>
        <w:t> εκτοξεύτηκε στο ποσό των 388,49 δισ. ευρώ</w:t>
      </w:r>
      <w:r w:rsidRPr="00817223">
        <w:rPr>
          <w:rFonts w:ascii="Helvetica" w:eastAsia="Times New Roman" w:hAnsi="Helvetica" w:cs="Times New Roman"/>
          <w:color w:val="333333"/>
          <w:sz w:val="21"/>
          <w:szCs w:val="21"/>
          <w:lang w:eastAsia="el-GR"/>
        </w:rPr>
        <w:t>, από 374,06 δισ. ευρώ, που ήταν τον Δεκέμβριο του 2020, καταγράφοντας </w:t>
      </w:r>
      <w:r w:rsidRPr="00817223">
        <w:rPr>
          <w:rFonts w:ascii="Helvetica" w:eastAsia="Times New Roman" w:hAnsi="Helvetica" w:cs="Times New Roman"/>
          <w:b/>
          <w:bCs/>
          <w:color w:val="333333"/>
          <w:sz w:val="21"/>
          <w:szCs w:val="21"/>
          <w:bdr w:val="none" w:sz="0" w:space="0" w:color="auto" w:frame="1"/>
          <w:lang w:eastAsia="el-GR"/>
        </w:rPr>
        <w:t>αύξηση κατά 14,49 δισ. ευρώ.</w:t>
      </w:r>
    </w:p>
    <w:p w:rsidR="00817223" w:rsidRPr="00817223" w:rsidRDefault="00817223" w:rsidP="00817223">
      <w:pPr>
        <w:shd w:val="clear" w:color="auto" w:fill="FFFFFF"/>
        <w:spacing w:after="0" w:line="240" w:lineRule="auto"/>
        <w:rPr>
          <w:rFonts w:ascii="Helvetica" w:eastAsia="Times New Roman" w:hAnsi="Helvetica" w:cs="Times New Roman"/>
          <w:color w:val="333333"/>
          <w:sz w:val="21"/>
          <w:szCs w:val="21"/>
          <w:lang w:eastAsia="el-GR"/>
        </w:rPr>
      </w:pPr>
      <w:r w:rsidRPr="00817223">
        <w:rPr>
          <w:rFonts w:ascii="Helvetica" w:eastAsia="Times New Roman" w:hAnsi="Helvetica" w:cs="Times New Roman"/>
          <w:color w:val="333333"/>
          <w:sz w:val="21"/>
          <w:szCs w:val="21"/>
          <w:lang w:eastAsia="el-GR"/>
        </w:rPr>
        <w:t>Τονίζεται πως το χρέος </w:t>
      </w:r>
      <w:r w:rsidRPr="00817223">
        <w:rPr>
          <w:rFonts w:ascii="Helvetica" w:eastAsia="Times New Roman" w:hAnsi="Helvetica" w:cs="Times New Roman"/>
          <w:b/>
          <w:bCs/>
          <w:color w:val="333333"/>
          <w:sz w:val="21"/>
          <w:szCs w:val="21"/>
          <w:bdr w:val="none" w:sz="0" w:space="0" w:color="auto" w:frame="1"/>
          <w:lang w:eastAsia="el-GR"/>
        </w:rPr>
        <w:t>θα αυξηθεί περαιτέρω</w:t>
      </w:r>
      <w:r w:rsidRPr="00817223">
        <w:rPr>
          <w:rFonts w:ascii="Helvetica" w:eastAsia="Times New Roman" w:hAnsi="Helvetica" w:cs="Times New Roman"/>
          <w:color w:val="333333"/>
          <w:sz w:val="21"/>
          <w:szCs w:val="21"/>
          <w:lang w:eastAsia="el-GR"/>
        </w:rPr>
        <w:t>, με τον συνυπολογισμό των νέων ομολόγων (διάρκειας 5 και 30 ετών) συνολικού ύψους </w:t>
      </w:r>
      <w:r w:rsidRPr="00817223">
        <w:rPr>
          <w:rFonts w:ascii="Helvetica" w:eastAsia="Times New Roman" w:hAnsi="Helvetica" w:cs="Times New Roman"/>
          <w:b/>
          <w:bCs/>
          <w:color w:val="333333"/>
          <w:sz w:val="21"/>
          <w:szCs w:val="21"/>
          <w:bdr w:val="none" w:sz="0" w:space="0" w:color="auto" w:frame="1"/>
          <w:lang w:eastAsia="el-GR"/>
        </w:rPr>
        <w:t>2,5 δισ. ευρώ</w:t>
      </w:r>
      <w:r w:rsidRPr="00817223">
        <w:rPr>
          <w:rFonts w:ascii="Helvetica" w:eastAsia="Times New Roman" w:hAnsi="Helvetica" w:cs="Times New Roman"/>
          <w:color w:val="333333"/>
          <w:sz w:val="21"/>
          <w:szCs w:val="21"/>
          <w:lang w:eastAsia="el-GR"/>
        </w:rPr>
        <w:t>, που εκδόθηκαν στην 1η Σεπτεμβρίου.</w:t>
      </w:r>
    </w:p>
    <w:p w:rsidR="00817223" w:rsidRPr="00817223" w:rsidRDefault="00817223" w:rsidP="00817223">
      <w:pPr>
        <w:shd w:val="clear" w:color="auto" w:fill="FFFFFF"/>
        <w:spacing w:after="0" w:line="240" w:lineRule="auto"/>
        <w:rPr>
          <w:rFonts w:ascii="Helvetica" w:eastAsia="Times New Roman" w:hAnsi="Helvetica" w:cs="Times New Roman"/>
          <w:color w:val="333333"/>
          <w:sz w:val="21"/>
          <w:szCs w:val="21"/>
          <w:lang w:eastAsia="el-GR"/>
        </w:rPr>
      </w:pPr>
      <w:r w:rsidRPr="00817223">
        <w:rPr>
          <w:rFonts w:ascii="Helvetica" w:eastAsia="Times New Roman" w:hAnsi="Helvetica" w:cs="Times New Roman"/>
          <w:color w:val="333333"/>
          <w:sz w:val="21"/>
          <w:szCs w:val="21"/>
          <w:lang w:eastAsia="el-GR"/>
        </w:rPr>
        <w:lastRenderedPageBreak/>
        <w:t>Ως ποσοστό του ΑΕΠ το ακαθάριστο χρέος της χώρας διαμορφώθηκε τον Ιούλιο στο </w:t>
      </w:r>
      <w:r w:rsidRPr="00817223">
        <w:rPr>
          <w:rFonts w:ascii="Helvetica" w:eastAsia="Times New Roman" w:hAnsi="Helvetica" w:cs="Times New Roman"/>
          <w:b/>
          <w:bCs/>
          <w:color w:val="333333"/>
          <w:sz w:val="21"/>
          <w:szCs w:val="21"/>
          <w:bdr w:val="none" w:sz="0" w:space="0" w:color="auto" w:frame="1"/>
          <w:lang w:eastAsia="el-GR"/>
        </w:rPr>
        <w:t>234% του ΑΕΠ, </w:t>
      </w:r>
      <w:r w:rsidRPr="00817223">
        <w:rPr>
          <w:rFonts w:ascii="Helvetica" w:eastAsia="Times New Roman" w:hAnsi="Helvetica" w:cs="Times New Roman"/>
          <w:color w:val="333333"/>
          <w:sz w:val="21"/>
          <w:szCs w:val="21"/>
          <w:lang w:eastAsia="el-GR"/>
        </w:rPr>
        <w:t>με τη χώρα μας να έχει το </w:t>
      </w:r>
      <w:r w:rsidRPr="00817223">
        <w:rPr>
          <w:rFonts w:ascii="Helvetica" w:eastAsia="Times New Roman" w:hAnsi="Helvetica" w:cs="Times New Roman"/>
          <w:b/>
          <w:bCs/>
          <w:color w:val="333333"/>
          <w:sz w:val="21"/>
          <w:szCs w:val="21"/>
          <w:bdr w:val="none" w:sz="0" w:space="0" w:color="auto" w:frame="1"/>
          <w:lang w:eastAsia="el-GR"/>
        </w:rPr>
        <w:t>υψηλότερο </w:t>
      </w:r>
      <w:r w:rsidRPr="00817223">
        <w:rPr>
          <w:rFonts w:ascii="Helvetica" w:eastAsia="Times New Roman" w:hAnsi="Helvetica" w:cs="Times New Roman"/>
          <w:color w:val="333333"/>
          <w:sz w:val="21"/>
          <w:szCs w:val="21"/>
          <w:lang w:eastAsia="el-GR"/>
        </w:rPr>
        <w:t>χρέος στην Ευρωπαϊκή Ένωση και το δεύτερο υψηλότερο παγκοσμίως, μετά την </w:t>
      </w:r>
      <w:r w:rsidRPr="00817223">
        <w:rPr>
          <w:rFonts w:ascii="Helvetica" w:eastAsia="Times New Roman" w:hAnsi="Helvetica" w:cs="Times New Roman"/>
          <w:b/>
          <w:bCs/>
          <w:color w:val="333333"/>
          <w:sz w:val="21"/>
          <w:szCs w:val="21"/>
          <w:bdr w:val="none" w:sz="0" w:space="0" w:color="auto" w:frame="1"/>
          <w:lang w:eastAsia="el-GR"/>
        </w:rPr>
        <w:t>Ιαπωνία</w:t>
      </w:r>
      <w:r w:rsidRPr="00817223">
        <w:rPr>
          <w:rFonts w:ascii="Helvetica" w:eastAsia="Times New Roman" w:hAnsi="Helvetica" w:cs="Times New Roman"/>
          <w:color w:val="333333"/>
          <w:sz w:val="21"/>
          <w:szCs w:val="21"/>
          <w:lang w:eastAsia="el-GR"/>
        </w:rPr>
        <w:t>.</w:t>
      </w:r>
    </w:p>
    <w:p w:rsidR="00817223" w:rsidRPr="00817223" w:rsidRDefault="00817223" w:rsidP="00817223">
      <w:pPr>
        <w:shd w:val="clear" w:color="auto" w:fill="FFFFFF"/>
        <w:spacing w:after="0" w:line="240" w:lineRule="auto"/>
        <w:rPr>
          <w:rFonts w:ascii="Helvetica" w:eastAsia="Times New Roman" w:hAnsi="Helvetica" w:cs="Times New Roman"/>
          <w:color w:val="333333"/>
          <w:sz w:val="21"/>
          <w:szCs w:val="21"/>
          <w:lang w:eastAsia="el-GR"/>
        </w:rPr>
      </w:pPr>
      <w:r w:rsidRPr="00817223">
        <w:rPr>
          <w:rFonts w:ascii="Helvetica" w:eastAsia="Times New Roman" w:hAnsi="Helvetica" w:cs="Times New Roman"/>
          <w:color w:val="333333"/>
          <w:sz w:val="21"/>
          <w:szCs w:val="21"/>
          <w:lang w:eastAsia="el-GR"/>
        </w:rPr>
        <w:t>Παρατηρείται έτσι το οξύμωρο, την ώρα που το έλλειμμα του προϋπολογισμού και το δημόσιο χρέος αυξάνονται δραματικά, η κυβέρνηση υπόσχεται ελαφρύνσεις, τις οποίες </w:t>
      </w:r>
      <w:r w:rsidRPr="00817223">
        <w:rPr>
          <w:rFonts w:ascii="Helvetica" w:eastAsia="Times New Roman" w:hAnsi="Helvetica" w:cs="Times New Roman"/>
          <w:b/>
          <w:bCs/>
          <w:color w:val="333333"/>
          <w:sz w:val="21"/>
          <w:szCs w:val="21"/>
          <w:bdr w:val="none" w:sz="0" w:space="0" w:color="auto" w:frame="1"/>
          <w:lang w:eastAsia="el-GR"/>
        </w:rPr>
        <w:t>θα εξαγγείλει ο πρωθυπουργός από το βήμα της ΔΕΘ</w:t>
      </w:r>
      <w:r w:rsidRPr="00817223">
        <w:rPr>
          <w:rFonts w:ascii="Helvetica" w:eastAsia="Times New Roman" w:hAnsi="Helvetica" w:cs="Times New Roman"/>
          <w:color w:val="333333"/>
          <w:sz w:val="21"/>
          <w:szCs w:val="21"/>
          <w:lang w:eastAsia="el-GR"/>
        </w:rPr>
        <w:t> το ερχόμενο Σάββατο.</w:t>
      </w:r>
    </w:p>
    <w:p w:rsidR="00817223" w:rsidRPr="00817223" w:rsidRDefault="00817223" w:rsidP="00817223">
      <w:pPr>
        <w:shd w:val="clear" w:color="auto" w:fill="FFFFFF"/>
        <w:spacing w:after="0" w:line="240" w:lineRule="auto"/>
        <w:rPr>
          <w:rFonts w:ascii="Helvetica" w:eastAsia="Times New Roman" w:hAnsi="Helvetica" w:cs="Times New Roman"/>
          <w:color w:val="333333"/>
          <w:sz w:val="21"/>
          <w:szCs w:val="21"/>
          <w:lang w:eastAsia="el-GR"/>
        </w:rPr>
      </w:pPr>
      <w:r w:rsidRPr="00817223">
        <w:rPr>
          <w:rFonts w:ascii="Helvetica" w:eastAsia="Times New Roman" w:hAnsi="Helvetica" w:cs="Times New Roman"/>
          <w:color w:val="333333"/>
          <w:sz w:val="21"/>
          <w:szCs w:val="21"/>
          <w:lang w:eastAsia="el-GR"/>
        </w:rPr>
        <w:t>Τεράστια είναι η αύξηση του χρέους κατά το 18μηνο της πανδημίας, εξέλιξη που προκαλεί ανησυχία. Όσο τα επιτόκια είναι χαμηλά, δεν υπάρχει κίνδυνος ανατροφοδότησης του χρέους, λόγω του κόστους δανεισμού. Όμως εάν τα επιτόκια αρχίσουν και αυξάνονται, οσονούπω, </w:t>
      </w:r>
      <w:r w:rsidRPr="00817223">
        <w:rPr>
          <w:rFonts w:ascii="Helvetica" w:eastAsia="Times New Roman" w:hAnsi="Helvetica" w:cs="Times New Roman"/>
          <w:b/>
          <w:bCs/>
          <w:color w:val="333333"/>
          <w:sz w:val="21"/>
          <w:szCs w:val="21"/>
          <w:bdr w:val="none" w:sz="0" w:space="0" w:color="auto" w:frame="1"/>
          <w:lang w:eastAsia="el-GR"/>
        </w:rPr>
        <w:t>μετά τη λήξη των μέτρων στήριξης από την ΕΚΤ</w:t>
      </w:r>
      <w:r w:rsidRPr="00817223">
        <w:rPr>
          <w:rFonts w:ascii="Helvetica" w:eastAsia="Times New Roman" w:hAnsi="Helvetica" w:cs="Times New Roman"/>
          <w:color w:val="333333"/>
          <w:sz w:val="21"/>
          <w:szCs w:val="21"/>
          <w:lang w:eastAsia="el-GR"/>
        </w:rPr>
        <w:t>, τότε θα υπάρξει τεράστιο πρόβλημα. Δεδομένου του μεγέθους που θα έχει σκαρφαλώσει το χρέος.</w:t>
      </w:r>
    </w:p>
    <w:p w:rsidR="00817223" w:rsidRPr="00817223" w:rsidRDefault="00817223" w:rsidP="00817223">
      <w:pPr>
        <w:shd w:val="clear" w:color="auto" w:fill="FFFFFF"/>
        <w:spacing w:after="0" w:line="240" w:lineRule="auto"/>
        <w:rPr>
          <w:rFonts w:ascii="Helvetica" w:eastAsia="Times New Roman" w:hAnsi="Helvetica" w:cs="Times New Roman"/>
          <w:color w:val="333333"/>
          <w:sz w:val="21"/>
          <w:szCs w:val="21"/>
          <w:lang w:eastAsia="el-GR"/>
        </w:rPr>
      </w:pPr>
      <w:r w:rsidRPr="00817223">
        <w:rPr>
          <w:rFonts w:ascii="Helvetica" w:eastAsia="Times New Roman" w:hAnsi="Helvetica" w:cs="Times New Roman"/>
          <w:color w:val="333333"/>
          <w:sz w:val="21"/>
          <w:szCs w:val="21"/>
          <w:lang w:eastAsia="el-GR"/>
        </w:rPr>
        <w:t>Αναλυτικότερα, σύμφωνα με τα στοιχεία του ΥΠΟΙΚ, το 2020, </w:t>
      </w:r>
      <w:r w:rsidRPr="00817223">
        <w:rPr>
          <w:rFonts w:ascii="Helvetica" w:eastAsia="Times New Roman" w:hAnsi="Helvetica" w:cs="Times New Roman"/>
          <w:b/>
          <w:bCs/>
          <w:color w:val="333333"/>
          <w:sz w:val="21"/>
          <w:szCs w:val="21"/>
          <w:bdr w:val="none" w:sz="0" w:space="0" w:color="auto" w:frame="1"/>
          <w:lang w:eastAsia="el-GR"/>
        </w:rPr>
        <w:t>το δημόσιο χρέος αυξήθηκε κατά 17.991 εκατ. ευρώ </w:t>
      </w:r>
      <w:r w:rsidRPr="00817223">
        <w:rPr>
          <w:rFonts w:ascii="Helvetica" w:eastAsia="Times New Roman" w:hAnsi="Helvetica" w:cs="Times New Roman"/>
          <w:color w:val="333333"/>
          <w:sz w:val="21"/>
          <w:szCs w:val="21"/>
          <w:lang w:eastAsia="el-GR"/>
        </w:rPr>
        <w:t>σε σχέση με το 2019 και από 356.015 τον Δεκέμβριο του 2019 έφτασε στο ποσό των 374.006 εκατ. ευρώ τον Δεκέμβριο του 2020.</w:t>
      </w:r>
    </w:p>
    <w:p w:rsidR="00817223" w:rsidRPr="00817223" w:rsidRDefault="00817223" w:rsidP="00817223">
      <w:pPr>
        <w:shd w:val="clear" w:color="auto" w:fill="FFFFFF"/>
        <w:spacing w:after="0" w:line="240" w:lineRule="auto"/>
        <w:rPr>
          <w:rFonts w:ascii="Helvetica" w:eastAsia="Times New Roman" w:hAnsi="Helvetica" w:cs="Times New Roman"/>
          <w:color w:val="333333"/>
          <w:sz w:val="21"/>
          <w:szCs w:val="21"/>
          <w:lang w:eastAsia="el-GR"/>
        </w:rPr>
      </w:pPr>
      <w:r w:rsidRPr="00817223">
        <w:rPr>
          <w:rFonts w:ascii="Helvetica" w:eastAsia="Times New Roman" w:hAnsi="Helvetica" w:cs="Times New Roman"/>
          <w:color w:val="333333"/>
          <w:sz w:val="21"/>
          <w:szCs w:val="21"/>
          <w:lang w:eastAsia="el-GR"/>
        </w:rPr>
        <w:t>Όμως, στο επτάμηνο Ιανουαρίου – Ιουλίου 2021, αυξήθηκε επιπλέον κατά 13.521 εκατ. ευρώ και έτσι, η αύξησή του από την έναρξη της πανδημίας μέχρι τον Ιούλιο </w:t>
      </w:r>
      <w:r w:rsidRPr="00817223">
        <w:rPr>
          <w:rFonts w:ascii="Helvetica" w:eastAsia="Times New Roman" w:hAnsi="Helvetica" w:cs="Times New Roman"/>
          <w:b/>
          <w:bCs/>
          <w:color w:val="333333"/>
          <w:sz w:val="21"/>
          <w:szCs w:val="21"/>
          <w:bdr w:val="none" w:sz="0" w:space="0" w:color="auto" w:frame="1"/>
          <w:lang w:eastAsia="el-GR"/>
        </w:rPr>
        <w:t>ανήλθε σε 32,48 δισ. ευρώ.</w:t>
      </w:r>
    </w:p>
    <w:p w:rsidR="00817223" w:rsidRPr="00817223" w:rsidRDefault="00817223" w:rsidP="00817223">
      <w:pPr>
        <w:shd w:val="clear" w:color="auto" w:fill="FFFFFF"/>
        <w:spacing w:after="0" w:line="240" w:lineRule="auto"/>
        <w:rPr>
          <w:rFonts w:ascii="Helvetica" w:eastAsia="Times New Roman" w:hAnsi="Helvetica" w:cs="Times New Roman"/>
          <w:color w:val="333333"/>
          <w:sz w:val="21"/>
          <w:szCs w:val="21"/>
          <w:lang w:eastAsia="el-GR"/>
        </w:rPr>
      </w:pPr>
      <w:r w:rsidRPr="00817223">
        <w:rPr>
          <w:rFonts w:ascii="Helvetica" w:eastAsia="Times New Roman" w:hAnsi="Helvetica" w:cs="Times New Roman"/>
          <w:color w:val="333333"/>
          <w:sz w:val="21"/>
          <w:szCs w:val="21"/>
          <w:lang w:eastAsia="el-GR"/>
        </w:rPr>
        <w:t>Η αιτία της αύξησης του χρέους τόσο στο επτάμηνο του 2021 όσο και το 2020 είναι τα ελλείμματα που δημιούργησε στον προϋπολογισμό </w:t>
      </w:r>
      <w:r w:rsidRPr="00817223">
        <w:rPr>
          <w:rFonts w:ascii="Helvetica" w:eastAsia="Times New Roman" w:hAnsi="Helvetica" w:cs="Times New Roman"/>
          <w:b/>
          <w:bCs/>
          <w:color w:val="333333"/>
          <w:sz w:val="21"/>
          <w:szCs w:val="21"/>
          <w:bdr w:val="none" w:sz="0" w:space="0" w:color="auto" w:frame="1"/>
          <w:lang w:eastAsia="el-GR"/>
        </w:rPr>
        <w:t>ο αυξημένος δανεισμός</w:t>
      </w:r>
      <w:r w:rsidRPr="00817223">
        <w:rPr>
          <w:rFonts w:ascii="Helvetica" w:eastAsia="Times New Roman" w:hAnsi="Helvetica" w:cs="Times New Roman"/>
          <w:color w:val="333333"/>
          <w:sz w:val="21"/>
          <w:szCs w:val="21"/>
          <w:lang w:eastAsia="el-GR"/>
        </w:rPr>
        <w:t> προκειμένου να καλυφθούν οι δαπάνες της πανδημίας, την ίδια ώρα που τα έσοδα του προϋπολογισμού παρουσίαζαν πτώση.</w:t>
      </w:r>
    </w:p>
    <w:p w:rsidR="00817223" w:rsidRPr="00817223" w:rsidRDefault="00817223" w:rsidP="00817223">
      <w:pPr>
        <w:shd w:val="clear" w:color="auto" w:fill="FFFFFF"/>
        <w:spacing w:after="0" w:line="240" w:lineRule="auto"/>
        <w:rPr>
          <w:rFonts w:ascii="Helvetica" w:eastAsia="Times New Roman" w:hAnsi="Helvetica" w:cs="Times New Roman"/>
          <w:color w:val="333333"/>
          <w:sz w:val="21"/>
          <w:szCs w:val="21"/>
          <w:lang w:eastAsia="el-GR"/>
        </w:rPr>
      </w:pPr>
      <w:r w:rsidRPr="00817223">
        <w:rPr>
          <w:rFonts w:ascii="Helvetica" w:eastAsia="Times New Roman" w:hAnsi="Helvetica" w:cs="Times New Roman"/>
          <w:color w:val="333333"/>
          <w:sz w:val="21"/>
          <w:szCs w:val="21"/>
          <w:lang w:eastAsia="el-GR"/>
        </w:rPr>
        <w:t>Το έλλειμμα του κρατικού προϋπολογισμού </w:t>
      </w:r>
      <w:r w:rsidRPr="00817223">
        <w:rPr>
          <w:rFonts w:ascii="Helvetica" w:eastAsia="Times New Roman" w:hAnsi="Helvetica" w:cs="Times New Roman"/>
          <w:b/>
          <w:bCs/>
          <w:color w:val="333333"/>
          <w:sz w:val="21"/>
          <w:szCs w:val="21"/>
          <w:bdr w:val="none" w:sz="0" w:space="0" w:color="auto" w:frame="1"/>
          <w:lang w:eastAsia="el-GR"/>
        </w:rPr>
        <w:t>στο επτάμηνο Ιανουαρίου - Ιουλίου εκτινάχθηκε στο ποσό των 12,5 δισ. ευρώ</w:t>
      </w:r>
      <w:r w:rsidRPr="00817223">
        <w:rPr>
          <w:rFonts w:ascii="Helvetica" w:eastAsia="Times New Roman" w:hAnsi="Helvetica" w:cs="Times New Roman"/>
          <w:color w:val="333333"/>
          <w:sz w:val="21"/>
          <w:szCs w:val="21"/>
          <w:lang w:eastAsia="el-GR"/>
        </w:rPr>
        <w:t>, το οποίο φυσικά, καλύφθηκε με την έκδοση νέων ομολόγων, από 9,5 δισ. ευρώ, που ήταν την αντίστοιχη περίοδο του 2020.</w:t>
      </w:r>
    </w:p>
    <w:p w:rsidR="00817223" w:rsidRPr="00817223" w:rsidRDefault="00817223" w:rsidP="00817223">
      <w:pPr>
        <w:shd w:val="clear" w:color="auto" w:fill="FFFFFF"/>
        <w:spacing w:after="0" w:line="240" w:lineRule="auto"/>
        <w:rPr>
          <w:rFonts w:ascii="Helvetica" w:eastAsia="Times New Roman" w:hAnsi="Helvetica" w:cs="Times New Roman"/>
          <w:color w:val="333333"/>
          <w:sz w:val="21"/>
          <w:szCs w:val="21"/>
          <w:lang w:eastAsia="el-GR"/>
        </w:rPr>
      </w:pPr>
      <w:r w:rsidRPr="00817223">
        <w:rPr>
          <w:rFonts w:ascii="Helvetica" w:eastAsia="Times New Roman" w:hAnsi="Helvetica" w:cs="Times New Roman"/>
          <w:color w:val="333333"/>
          <w:sz w:val="21"/>
          <w:szCs w:val="21"/>
          <w:lang w:eastAsia="el-GR"/>
        </w:rPr>
        <w:t>Από τα αναλυτικά στοιχεία του υπουργείου Οικονομικών προκύπτει πως από το σύνολο του χρέους, 388,5 δισ. ευρώ, ποσό ύψους</w:t>
      </w:r>
      <w:r w:rsidRPr="00817223">
        <w:rPr>
          <w:rFonts w:ascii="Helvetica" w:eastAsia="Times New Roman" w:hAnsi="Helvetica" w:cs="Times New Roman"/>
          <w:b/>
          <w:bCs/>
          <w:color w:val="333333"/>
          <w:sz w:val="21"/>
          <w:szCs w:val="21"/>
          <w:bdr w:val="none" w:sz="0" w:space="0" w:color="auto" w:frame="1"/>
          <w:lang w:eastAsia="el-GR"/>
        </w:rPr>
        <w:t> 243,8 δισ. ευρώ, είναι τα δάνεια του Μηχανισμού Στήριξης (ΕΤΧΣ, ΕΜΣ και ΔΝΤ),</w:t>
      </w:r>
      <w:r w:rsidRPr="00817223">
        <w:rPr>
          <w:rFonts w:ascii="Helvetica" w:eastAsia="Times New Roman" w:hAnsi="Helvetica" w:cs="Times New Roman"/>
          <w:color w:val="333333"/>
          <w:sz w:val="21"/>
          <w:szCs w:val="21"/>
          <w:lang w:eastAsia="el-GR"/>
        </w:rPr>
        <w:t> ενώ τα </w:t>
      </w:r>
      <w:r w:rsidRPr="00817223">
        <w:rPr>
          <w:rFonts w:ascii="Helvetica" w:eastAsia="Times New Roman" w:hAnsi="Helvetica" w:cs="Times New Roman"/>
          <w:b/>
          <w:bCs/>
          <w:color w:val="333333"/>
          <w:sz w:val="21"/>
          <w:szCs w:val="21"/>
          <w:bdr w:val="none" w:sz="0" w:space="0" w:color="auto" w:frame="1"/>
          <w:lang w:eastAsia="el-GR"/>
        </w:rPr>
        <w:t>ομόλογα </w:t>
      </w:r>
      <w:r w:rsidRPr="00817223">
        <w:rPr>
          <w:rFonts w:ascii="Helvetica" w:eastAsia="Times New Roman" w:hAnsi="Helvetica" w:cs="Times New Roman"/>
          <w:color w:val="333333"/>
          <w:sz w:val="21"/>
          <w:szCs w:val="21"/>
          <w:lang w:eastAsia="el-GR"/>
        </w:rPr>
        <w:t>που κυκλοφορούν στις αγορές, έχουν αυξηθεί σε </w:t>
      </w:r>
      <w:r w:rsidRPr="00817223">
        <w:rPr>
          <w:rFonts w:ascii="Helvetica" w:eastAsia="Times New Roman" w:hAnsi="Helvetica" w:cs="Times New Roman"/>
          <w:b/>
          <w:bCs/>
          <w:color w:val="333333"/>
          <w:sz w:val="21"/>
          <w:szCs w:val="21"/>
          <w:bdr w:val="none" w:sz="0" w:space="0" w:color="auto" w:frame="1"/>
          <w:lang w:eastAsia="el-GR"/>
        </w:rPr>
        <w:t>79,81 δισ. ευρώ</w:t>
      </w:r>
      <w:r w:rsidRPr="00817223">
        <w:rPr>
          <w:rFonts w:ascii="Helvetica" w:eastAsia="Times New Roman" w:hAnsi="Helvetica" w:cs="Times New Roman"/>
          <w:color w:val="333333"/>
          <w:sz w:val="21"/>
          <w:szCs w:val="21"/>
          <w:lang w:eastAsia="el-GR"/>
        </w:rPr>
        <w:t>, από 66,88 δισ. ευρώ που ήταν τον περασμένο Δεκέμβριο.</w:t>
      </w:r>
    </w:p>
    <w:p w:rsidR="00817223" w:rsidRPr="00817223" w:rsidRDefault="00817223" w:rsidP="00817223">
      <w:pPr>
        <w:shd w:val="clear" w:color="auto" w:fill="FFFFFF"/>
        <w:spacing w:after="180" w:line="240" w:lineRule="auto"/>
        <w:outlineLvl w:val="1"/>
        <w:rPr>
          <w:rFonts w:ascii="ZonaProBold" w:eastAsia="Times New Roman" w:hAnsi="ZonaProBold" w:cs="Times New Roman"/>
          <w:color w:val="333333"/>
          <w:sz w:val="30"/>
          <w:szCs w:val="30"/>
          <w:lang w:eastAsia="el-GR"/>
        </w:rPr>
      </w:pPr>
      <w:r w:rsidRPr="00817223">
        <w:rPr>
          <w:rFonts w:ascii="ZonaProBold" w:eastAsia="Times New Roman" w:hAnsi="ZonaProBold" w:cs="Times New Roman"/>
          <w:color w:val="333333"/>
          <w:sz w:val="30"/>
          <w:szCs w:val="30"/>
          <w:lang w:eastAsia="el-GR"/>
        </w:rPr>
        <w:t>Το χρέος Γενικής Κυβέρνησης</w:t>
      </w:r>
    </w:p>
    <w:p w:rsidR="00817223" w:rsidRPr="00817223" w:rsidRDefault="00817223" w:rsidP="00817223">
      <w:pPr>
        <w:shd w:val="clear" w:color="auto" w:fill="FFFFFF"/>
        <w:spacing w:after="360" w:line="240" w:lineRule="auto"/>
        <w:rPr>
          <w:rFonts w:ascii="Helvetica" w:eastAsia="Times New Roman" w:hAnsi="Helvetica" w:cs="Times New Roman"/>
          <w:color w:val="333333"/>
          <w:sz w:val="21"/>
          <w:szCs w:val="21"/>
          <w:lang w:eastAsia="el-GR"/>
        </w:rPr>
      </w:pPr>
      <w:r w:rsidRPr="00817223">
        <w:rPr>
          <w:rFonts w:ascii="Helvetica" w:eastAsia="Times New Roman" w:hAnsi="Helvetica" w:cs="Times New Roman"/>
          <w:color w:val="333333"/>
          <w:sz w:val="21"/>
          <w:szCs w:val="21"/>
          <w:lang w:eastAsia="el-GR"/>
        </w:rPr>
        <w:t xml:space="preserve">Διευκρινίζεται ότι τα συγκεκριμένα στοιχεία αφορούν στο ακαθάριστο δημόσιο χρέος ή Χρέος Κεντρικής Διοίκησης, το οποίο διαφέρει από το Χρέος Γενικής Κυβέρνησης, το οποίο αποτελεί τον δείκτη παρακολούθησης των επιδόσεων των κρατών. Σύμφωνα με τον ορισμό της </w:t>
      </w:r>
      <w:proofErr w:type="spellStart"/>
      <w:r w:rsidRPr="00817223">
        <w:rPr>
          <w:rFonts w:ascii="Helvetica" w:eastAsia="Times New Roman" w:hAnsi="Helvetica" w:cs="Times New Roman"/>
          <w:color w:val="333333"/>
          <w:sz w:val="21"/>
          <w:szCs w:val="21"/>
          <w:lang w:eastAsia="el-GR"/>
        </w:rPr>
        <w:t>Eurostat</w:t>
      </w:r>
      <w:proofErr w:type="spellEnd"/>
      <w:r w:rsidRPr="00817223">
        <w:rPr>
          <w:rFonts w:ascii="Helvetica" w:eastAsia="Times New Roman" w:hAnsi="Helvetica" w:cs="Times New Roman"/>
          <w:color w:val="333333"/>
          <w:sz w:val="21"/>
          <w:szCs w:val="21"/>
          <w:lang w:eastAsia="el-GR"/>
        </w:rPr>
        <w:t>, από το συνολικό ακαθάριστο χρέος αφαιρούνται:</w:t>
      </w:r>
    </w:p>
    <w:p w:rsidR="00817223" w:rsidRPr="00817223" w:rsidRDefault="00817223" w:rsidP="00817223">
      <w:pPr>
        <w:numPr>
          <w:ilvl w:val="0"/>
          <w:numId w:val="2"/>
        </w:numPr>
        <w:shd w:val="clear" w:color="auto" w:fill="FFFFFF"/>
        <w:spacing w:after="60" w:line="240" w:lineRule="auto"/>
        <w:ind w:left="120"/>
        <w:rPr>
          <w:rFonts w:ascii="Helvetica" w:eastAsia="Times New Roman" w:hAnsi="Helvetica" w:cs="Times New Roman"/>
          <w:color w:val="333333"/>
          <w:sz w:val="21"/>
          <w:szCs w:val="21"/>
          <w:lang w:eastAsia="el-GR"/>
        </w:rPr>
      </w:pPr>
      <w:r w:rsidRPr="00817223">
        <w:rPr>
          <w:rFonts w:ascii="Helvetica" w:eastAsia="Times New Roman" w:hAnsi="Helvetica" w:cs="Times New Roman"/>
          <w:color w:val="333333"/>
          <w:sz w:val="21"/>
          <w:szCs w:val="21"/>
          <w:lang w:eastAsia="el-GR"/>
        </w:rPr>
        <w:t>Τα κρατικά ομόλογα που κατέχουν ασφαλιστικά ταμεία και οι ΟΤΑ και άλλοι δημόσιοι φορείς, το αποκαλούμενο ενδοκυβερνητικό χρέος, το οποίο ανέρχεται σε περίπου 18 δισ. ευρώ.</w:t>
      </w:r>
    </w:p>
    <w:p w:rsidR="00817223" w:rsidRPr="00817223" w:rsidRDefault="00817223" w:rsidP="00817223">
      <w:pPr>
        <w:numPr>
          <w:ilvl w:val="0"/>
          <w:numId w:val="2"/>
        </w:numPr>
        <w:shd w:val="clear" w:color="auto" w:fill="FFFFFF"/>
        <w:spacing w:after="60" w:line="240" w:lineRule="auto"/>
        <w:ind w:left="120"/>
        <w:rPr>
          <w:rFonts w:ascii="Helvetica" w:eastAsia="Times New Roman" w:hAnsi="Helvetica" w:cs="Times New Roman"/>
          <w:color w:val="333333"/>
          <w:sz w:val="21"/>
          <w:szCs w:val="21"/>
          <w:lang w:eastAsia="el-GR"/>
        </w:rPr>
      </w:pPr>
      <w:r w:rsidRPr="00817223">
        <w:rPr>
          <w:rFonts w:ascii="Helvetica" w:eastAsia="Times New Roman" w:hAnsi="Helvetica" w:cs="Times New Roman"/>
          <w:color w:val="333333"/>
          <w:sz w:val="21"/>
          <w:szCs w:val="21"/>
          <w:lang w:eastAsia="el-GR"/>
        </w:rPr>
        <w:t>Τα κέρματα και οι επενδύσεις σε κρατικά ομόλογα των νομικών προσώπων, το ύψος των οποίων ανέρχεται σε 12,8 δισ. ευρώ.</w:t>
      </w:r>
    </w:p>
    <w:p w:rsidR="00817223" w:rsidRPr="00817223" w:rsidRDefault="00817223" w:rsidP="00817223">
      <w:pPr>
        <w:numPr>
          <w:ilvl w:val="0"/>
          <w:numId w:val="2"/>
        </w:numPr>
        <w:shd w:val="clear" w:color="auto" w:fill="FFFFFF"/>
        <w:spacing w:after="60" w:line="240" w:lineRule="auto"/>
        <w:ind w:left="120"/>
        <w:rPr>
          <w:rFonts w:ascii="Helvetica" w:eastAsia="Times New Roman" w:hAnsi="Helvetica" w:cs="Times New Roman"/>
          <w:color w:val="333333"/>
          <w:sz w:val="21"/>
          <w:szCs w:val="21"/>
          <w:lang w:eastAsia="el-GR"/>
        </w:rPr>
      </w:pPr>
      <w:r w:rsidRPr="00817223">
        <w:rPr>
          <w:rFonts w:ascii="Helvetica" w:eastAsia="Times New Roman" w:hAnsi="Helvetica" w:cs="Times New Roman"/>
          <w:color w:val="333333"/>
          <w:sz w:val="21"/>
          <w:szCs w:val="21"/>
          <w:lang w:eastAsia="el-GR"/>
        </w:rPr>
        <w:t>Συνολικά δηλαδή, από το συνολικό χρέος αφαιρούνται περίπου 31 δισ. ευρώ.</w:t>
      </w:r>
    </w:p>
    <w:p w:rsidR="00817223" w:rsidRPr="00817223" w:rsidRDefault="00817223" w:rsidP="00817223">
      <w:pPr>
        <w:shd w:val="clear" w:color="auto" w:fill="FFFFFF"/>
        <w:spacing w:line="240" w:lineRule="auto"/>
        <w:rPr>
          <w:rFonts w:ascii="Helvetica" w:eastAsia="Times New Roman" w:hAnsi="Helvetica" w:cs="Times New Roman"/>
          <w:color w:val="333333"/>
          <w:sz w:val="21"/>
          <w:szCs w:val="21"/>
          <w:lang w:eastAsia="el-GR"/>
        </w:rPr>
      </w:pPr>
      <w:r w:rsidRPr="00817223">
        <w:rPr>
          <w:rFonts w:ascii="Helvetica" w:eastAsia="Times New Roman" w:hAnsi="Helvetica" w:cs="Times New Roman"/>
          <w:color w:val="333333"/>
          <w:sz w:val="21"/>
          <w:szCs w:val="21"/>
          <w:lang w:eastAsia="el-GR"/>
        </w:rPr>
        <w:t>Ωστόσο, οι εκδόσεις νέων ομολόγων αυξάνουν και το χρέος Γενικής Κυβέρνησης, οπότε, ανεξάρτητα από το ρυθμό ανάπτυξης φέτος, θα παραμείνει πάνω το 200% του ΑΕΠ και το 2021.</w:t>
      </w:r>
      <w:r w:rsidRPr="00817223">
        <w:rPr>
          <w:rFonts w:ascii="Helvetica" w:eastAsia="Times New Roman" w:hAnsi="Helvetica" w:cs="Times New Roman"/>
          <w:color w:val="333333"/>
          <w:sz w:val="21"/>
          <w:szCs w:val="21"/>
          <w:lang w:eastAsia="el-GR"/>
        </w:rPr>
        <w:br/>
        <w:t>Στο πλαίσιο αυτό υπολογίζεται ότι το Χρέος Γενικής Κυβέρνησης ήδη έχει αυξηθεί στο ποσό των 357 δισ. ευρώ.</w:t>
      </w:r>
    </w:p>
    <w:p w:rsidR="006A3228" w:rsidRDefault="00817223">
      <w:r>
        <w:rPr>
          <w:noProof/>
          <w:lang w:eastAsia="el-GR"/>
        </w:rPr>
        <w:lastRenderedPageBreak/>
        <w:drawing>
          <wp:inline distT="0" distB="0" distL="0" distR="0" wp14:anchorId="45EAF16B" wp14:editId="0907DCB2">
            <wp:extent cx="5274310" cy="4312105"/>
            <wp:effectExtent l="0" t="0" r="2540" b="0"/>
            <wp:docPr id="2" name="Εικόνα 2" descr="xreos_7m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reos_7m_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4312105"/>
                    </a:xfrm>
                    <a:prstGeom prst="rect">
                      <a:avLst/>
                    </a:prstGeom>
                    <a:noFill/>
                    <a:ln>
                      <a:noFill/>
                    </a:ln>
                  </pic:spPr>
                </pic:pic>
              </a:graphicData>
            </a:graphic>
          </wp:inline>
        </w:drawing>
      </w:r>
    </w:p>
    <w:sectPr w:rsidR="006A322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ZonaProBold">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32AE7"/>
    <w:multiLevelType w:val="multilevel"/>
    <w:tmpl w:val="228A7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A966F5"/>
    <w:multiLevelType w:val="multilevel"/>
    <w:tmpl w:val="0756B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223"/>
    <w:rsid w:val="00607A94"/>
    <w:rsid w:val="006A3228"/>
    <w:rsid w:val="0081722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17223"/>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8172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17223"/>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8172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074686">
      <w:bodyDiv w:val="1"/>
      <w:marLeft w:val="0"/>
      <w:marRight w:val="0"/>
      <w:marTop w:val="0"/>
      <w:marBottom w:val="0"/>
      <w:divBdr>
        <w:top w:val="none" w:sz="0" w:space="0" w:color="auto"/>
        <w:left w:val="none" w:sz="0" w:space="0" w:color="auto"/>
        <w:bottom w:val="none" w:sz="0" w:space="0" w:color="auto"/>
        <w:right w:val="none" w:sz="0" w:space="0" w:color="auto"/>
      </w:divBdr>
      <w:divsChild>
        <w:div w:id="1594706072">
          <w:marLeft w:val="0"/>
          <w:marRight w:val="0"/>
          <w:marTop w:val="0"/>
          <w:marBottom w:val="600"/>
          <w:divBdr>
            <w:top w:val="none" w:sz="0" w:space="0" w:color="auto"/>
            <w:left w:val="none" w:sz="0" w:space="0" w:color="auto"/>
            <w:bottom w:val="none" w:sz="0" w:space="0" w:color="auto"/>
            <w:right w:val="none" w:sz="0" w:space="0" w:color="auto"/>
          </w:divBdr>
          <w:divsChild>
            <w:div w:id="1990789310">
              <w:marLeft w:val="0"/>
              <w:marRight w:val="0"/>
              <w:marTop w:val="0"/>
              <w:marBottom w:val="0"/>
              <w:divBdr>
                <w:top w:val="none" w:sz="0" w:space="0" w:color="auto"/>
                <w:left w:val="none" w:sz="0" w:space="0" w:color="auto"/>
                <w:bottom w:val="none" w:sz="0" w:space="0" w:color="auto"/>
                <w:right w:val="none" w:sz="0" w:space="0" w:color="auto"/>
              </w:divBdr>
              <w:divsChild>
                <w:div w:id="1742023743">
                  <w:marLeft w:val="0"/>
                  <w:marRight w:val="0"/>
                  <w:marTop w:val="0"/>
                  <w:marBottom w:val="0"/>
                  <w:divBdr>
                    <w:top w:val="none" w:sz="0" w:space="0" w:color="auto"/>
                    <w:left w:val="none" w:sz="0" w:space="0" w:color="auto"/>
                    <w:bottom w:val="none" w:sz="0" w:space="0" w:color="auto"/>
                    <w:right w:val="none" w:sz="0" w:space="0" w:color="auto"/>
                  </w:divBdr>
                </w:div>
                <w:div w:id="16012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7022">
          <w:marLeft w:val="0"/>
          <w:marRight w:val="0"/>
          <w:marTop w:val="0"/>
          <w:marBottom w:val="0"/>
          <w:divBdr>
            <w:top w:val="none" w:sz="0" w:space="0" w:color="auto"/>
            <w:left w:val="none" w:sz="0" w:space="0" w:color="auto"/>
            <w:bottom w:val="none" w:sz="0" w:space="0" w:color="auto"/>
            <w:right w:val="none" w:sz="0" w:space="0" w:color="auto"/>
          </w:divBdr>
          <w:divsChild>
            <w:div w:id="193352613">
              <w:marLeft w:val="0"/>
              <w:marRight w:val="0"/>
              <w:marTop w:val="0"/>
              <w:marBottom w:val="0"/>
              <w:divBdr>
                <w:top w:val="none" w:sz="0" w:space="0" w:color="auto"/>
                <w:left w:val="none" w:sz="0" w:space="0" w:color="auto"/>
                <w:bottom w:val="none" w:sz="0" w:space="0" w:color="auto"/>
                <w:right w:val="none" w:sz="0" w:space="0" w:color="auto"/>
              </w:divBdr>
              <w:divsChild>
                <w:div w:id="1268854607">
                  <w:marLeft w:val="0"/>
                  <w:marRight w:val="0"/>
                  <w:marTop w:val="0"/>
                  <w:marBottom w:val="600"/>
                  <w:divBdr>
                    <w:top w:val="none" w:sz="0" w:space="0" w:color="auto"/>
                    <w:left w:val="none" w:sz="0" w:space="0" w:color="auto"/>
                    <w:bottom w:val="none" w:sz="0" w:space="0" w:color="auto"/>
                    <w:right w:val="none" w:sz="0" w:space="0" w:color="auto"/>
                  </w:divBdr>
                  <w:divsChild>
                    <w:div w:id="9262900">
                      <w:marLeft w:val="0"/>
                      <w:marRight w:val="0"/>
                      <w:marTop w:val="240"/>
                      <w:marBottom w:val="360"/>
                      <w:divBdr>
                        <w:top w:val="none" w:sz="0" w:space="0" w:color="auto"/>
                        <w:left w:val="none" w:sz="0" w:space="0" w:color="auto"/>
                        <w:bottom w:val="none" w:sz="0" w:space="0" w:color="auto"/>
                        <w:right w:val="none" w:sz="0" w:space="0" w:color="auto"/>
                      </w:divBdr>
                    </w:div>
                    <w:div w:id="1037697643">
                      <w:marLeft w:val="0"/>
                      <w:marRight w:val="0"/>
                      <w:marTop w:val="0"/>
                      <w:marBottom w:val="0"/>
                      <w:divBdr>
                        <w:top w:val="none" w:sz="0" w:space="0" w:color="auto"/>
                        <w:left w:val="none" w:sz="0" w:space="0" w:color="auto"/>
                        <w:bottom w:val="none" w:sz="0" w:space="0" w:color="auto"/>
                        <w:right w:val="none" w:sz="0" w:space="0" w:color="auto"/>
                      </w:divBdr>
                      <w:divsChild>
                        <w:div w:id="2116633438">
                          <w:marLeft w:val="0"/>
                          <w:marRight w:val="0"/>
                          <w:marTop w:val="0"/>
                          <w:marBottom w:val="0"/>
                          <w:divBdr>
                            <w:top w:val="none" w:sz="0" w:space="0" w:color="auto"/>
                            <w:left w:val="none" w:sz="0" w:space="0" w:color="auto"/>
                            <w:bottom w:val="none" w:sz="0" w:space="0" w:color="auto"/>
                            <w:right w:val="none" w:sz="0" w:space="0" w:color="auto"/>
                          </w:divBdr>
                        </w:div>
                        <w:div w:id="1622149339">
                          <w:marLeft w:val="0"/>
                          <w:marRight w:val="0"/>
                          <w:marTop w:val="0"/>
                          <w:marBottom w:val="0"/>
                          <w:divBdr>
                            <w:top w:val="none" w:sz="0" w:space="0" w:color="auto"/>
                            <w:left w:val="none" w:sz="0" w:space="0" w:color="auto"/>
                            <w:bottom w:val="none" w:sz="0" w:space="0" w:color="auto"/>
                            <w:right w:val="none" w:sz="0" w:space="0" w:color="auto"/>
                          </w:divBdr>
                          <w:divsChild>
                            <w:div w:id="129463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3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667</Words>
  <Characters>3606</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tsakirisg</dc:creator>
  <cp:lastModifiedBy>tsakirisg</cp:lastModifiedBy>
  <cp:revision>2</cp:revision>
  <dcterms:created xsi:type="dcterms:W3CDTF">2021-09-09T08:34:00Z</dcterms:created>
  <dcterms:modified xsi:type="dcterms:W3CDTF">2021-09-09T08:34:00Z</dcterms:modified>
</cp:coreProperties>
</file>